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3D" w:rsidRPr="00332C89" w:rsidRDefault="0069623D" w:rsidP="0069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</w:t>
      </w:r>
      <w:r w:rsidRPr="00332C89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69623D" w:rsidRPr="00332C89" w:rsidRDefault="0069623D" w:rsidP="0069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</w:t>
      </w:r>
      <w:r w:rsidRPr="00332C89">
        <w:rPr>
          <w:rFonts w:ascii="Times New Roman" w:eastAsia="Times New Roman" w:hAnsi="Times New Roman" w:cs="Times New Roman"/>
          <w:sz w:val="24"/>
          <w:szCs w:val="24"/>
          <w:lang w:eastAsia="lt-LT"/>
        </w:rPr>
        <w:t>Smilgių gimnazijos direktoriaus</w:t>
      </w:r>
    </w:p>
    <w:p w:rsidR="0069623D" w:rsidRPr="00332C89" w:rsidRDefault="0069623D" w:rsidP="00696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</w:t>
      </w:r>
      <w:r w:rsidRPr="00332C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2017 m. balandžio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24 </w:t>
      </w:r>
      <w:r w:rsidRPr="00332C89">
        <w:rPr>
          <w:rFonts w:ascii="Times New Roman" w:eastAsia="Times New Roman" w:hAnsi="Times New Roman" w:cs="Times New Roman"/>
          <w:sz w:val="24"/>
          <w:szCs w:val="24"/>
          <w:lang w:eastAsia="lt-LT"/>
        </w:rPr>
        <w:t>d. įsakymu Nr. (1.8) V-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219</w:t>
      </w:r>
    </w:p>
    <w:p w:rsidR="0069623D" w:rsidRDefault="0069623D" w:rsidP="00696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A7C51" w:rsidRDefault="00DA7C51" w:rsidP="007F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F0C61" w:rsidRDefault="007F0C61" w:rsidP="007F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F0C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PANEVĖŽIO RAJONO SMILGIŲ GIMNAZIJOS</w:t>
      </w:r>
    </w:p>
    <w:p w:rsidR="007F0C61" w:rsidRPr="007F0C61" w:rsidRDefault="007F0C61" w:rsidP="007F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KOLEGIALAUS GRĮŽTAMOJO RYŠIO DIEGIMO</w:t>
      </w:r>
    </w:p>
    <w:p w:rsidR="007F0C61" w:rsidRDefault="007F0C61" w:rsidP="007F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F0C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TVARKOS APRAŠAS</w:t>
      </w:r>
    </w:p>
    <w:p w:rsidR="00033045" w:rsidRDefault="00033045" w:rsidP="007F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033045" w:rsidRPr="007F0C61" w:rsidRDefault="00033045" w:rsidP="007F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D6ABC" w:rsidRPr="00837D80" w:rsidRDefault="00033045" w:rsidP="006962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Kolegialūs mokymosi procesai padeda išsiaiškinti, kokie veiksniai prisideda prie pamokos</w:t>
      </w:r>
      <w:r w:rsidRPr="00837D80">
        <w:rPr>
          <w:rFonts w:ascii="Times New Roman" w:hAnsi="Times New Roman" w:cs="Times New Roman"/>
          <w:sz w:val="24"/>
          <w:szCs w:val="24"/>
        </w:rPr>
        <w:br/>
        <w:t>efektyvumo didinimo ir padeda mokiniams mokytis. Tokiu būdu ieškomos galimybės, kaip keisti</w:t>
      </w:r>
      <w:r w:rsidRPr="00837D80">
        <w:rPr>
          <w:rFonts w:ascii="Times New Roman" w:hAnsi="Times New Roman" w:cs="Times New Roman"/>
          <w:sz w:val="24"/>
          <w:szCs w:val="24"/>
        </w:rPr>
        <w:br/>
        <w:t xml:space="preserve">netenkinančius dalykus. </w:t>
      </w:r>
      <w:r w:rsidR="001D6ABC" w:rsidRPr="00837D80">
        <w:rPr>
          <w:rFonts w:ascii="Times New Roman" w:hAnsi="Times New Roman" w:cs="Times New Roman"/>
          <w:sz w:val="24"/>
          <w:szCs w:val="24"/>
        </w:rPr>
        <w:t>Metodinėse grupėse aptarti susitarimai, grįžtamojo ryšio privalumai, lūkesčiai, pamokos stebėjimo lentelės forma, informacijos vadovams teikimo lentelės forma, konfidencialumo sutartis.</w:t>
      </w:r>
    </w:p>
    <w:p w:rsidR="00033045" w:rsidRPr="00033045" w:rsidRDefault="00033045" w:rsidP="0069623D">
      <w:pPr>
        <w:spacing w:after="0"/>
        <w:ind w:firstLine="284"/>
        <w:jc w:val="both"/>
        <w:rPr>
          <w:b/>
          <w:sz w:val="24"/>
          <w:szCs w:val="24"/>
        </w:rPr>
      </w:pPr>
      <w:r w:rsidRPr="00033045">
        <w:rPr>
          <w:b/>
          <w:sz w:val="24"/>
          <w:szCs w:val="24"/>
        </w:rPr>
        <w:t>Kolegialaus grįžtamojo ryšio prasmė:</w:t>
      </w:r>
    </w:p>
    <w:p w:rsidR="00033045" w:rsidRPr="00837D80" w:rsidRDefault="00033045" w:rsidP="0052246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savęs pažinimas;</w:t>
      </w:r>
    </w:p>
    <w:p w:rsidR="00033045" w:rsidRPr="00837D80" w:rsidRDefault="00033045" w:rsidP="0052246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savęs tobulinimas;</w:t>
      </w:r>
    </w:p>
    <w:p w:rsidR="00033045" w:rsidRPr="00837D80" w:rsidRDefault="00033045" w:rsidP="0052246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galimybė būsimose situacijose pagerinti savo veiklą;</w:t>
      </w:r>
    </w:p>
    <w:p w:rsidR="00033045" w:rsidRPr="00837D80" w:rsidRDefault="00033045" w:rsidP="0052246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to, kaip pats matai/suvoki savo pamoką, praturtinimas kito pamokos matymu/suvokimu;</w:t>
      </w:r>
    </w:p>
    <w:p w:rsidR="00033045" w:rsidRPr="00837D80" w:rsidRDefault="00033045" w:rsidP="0052246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darbo palengvinimas (taip pat ir pernelyg aukštų reikalavimų sau sumažinimas);</w:t>
      </w:r>
    </w:p>
    <w:p w:rsidR="00033045" w:rsidRPr="00837D80" w:rsidRDefault="00033045" w:rsidP="0052246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pasitikėjimas;</w:t>
      </w:r>
    </w:p>
    <w:p w:rsidR="00033045" w:rsidRPr="00837D80" w:rsidRDefault="00033045" w:rsidP="0052246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sprendimai;</w:t>
      </w:r>
    </w:p>
    <w:p w:rsidR="00033045" w:rsidRPr="00837D80" w:rsidRDefault="00033045" w:rsidP="0052246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apsauga nuo „perdegimo“;</w:t>
      </w:r>
    </w:p>
    <w:p w:rsidR="00033045" w:rsidRPr="00837D80" w:rsidRDefault="00033045" w:rsidP="0052246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signalas mokiniams, jog mes stengiamės gerinti pamokos kokybę.</w:t>
      </w:r>
    </w:p>
    <w:p w:rsidR="00774212" w:rsidRPr="00837D80" w:rsidRDefault="00774212" w:rsidP="0077421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212" w:rsidRPr="002E706E" w:rsidRDefault="002E706E" w:rsidP="0069623D">
      <w:pPr>
        <w:spacing w:after="0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Kolegialaus grįžtamojo ryšio lūkesčiai:</w:t>
      </w:r>
    </w:p>
    <w:p w:rsidR="002E706E" w:rsidRPr="00837D80" w:rsidRDefault="002E706E" w:rsidP="00511BFA">
      <w:pPr>
        <w:numPr>
          <w:ilvl w:val="0"/>
          <w:numId w:val="6"/>
        </w:numPr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suburs besimokančių mokytojų komandą;</w:t>
      </w:r>
    </w:p>
    <w:p w:rsidR="00774212" w:rsidRPr="00837D80" w:rsidRDefault="00774212" w:rsidP="00511BFA">
      <w:pPr>
        <w:numPr>
          <w:ilvl w:val="0"/>
          <w:numId w:val="6"/>
        </w:numPr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padės rasti įvairių sprendimų būdus;</w:t>
      </w:r>
    </w:p>
    <w:p w:rsidR="00774212" w:rsidRPr="00837D80" w:rsidRDefault="00774212" w:rsidP="00511BFA">
      <w:pPr>
        <w:numPr>
          <w:ilvl w:val="0"/>
          <w:numId w:val="6"/>
        </w:numPr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suaktyvins gerosios patirties sklaidą;</w:t>
      </w:r>
    </w:p>
    <w:p w:rsidR="00774212" w:rsidRPr="00837D80" w:rsidRDefault="00774212" w:rsidP="00511BFA">
      <w:pPr>
        <w:numPr>
          <w:ilvl w:val="0"/>
          <w:numId w:val="6"/>
        </w:numPr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 xml:space="preserve">gauta patirtis bus nukreipiama pamokos kokybei gerinti; </w:t>
      </w:r>
    </w:p>
    <w:p w:rsidR="00033045" w:rsidRDefault="00033045" w:rsidP="0069623D">
      <w:pPr>
        <w:spacing w:after="0"/>
        <w:ind w:left="709" w:hanging="425"/>
        <w:rPr>
          <w:b/>
          <w:sz w:val="24"/>
          <w:szCs w:val="24"/>
        </w:rPr>
      </w:pPr>
    </w:p>
    <w:p w:rsidR="007F0C61" w:rsidRPr="00366CFA" w:rsidRDefault="007F0C61" w:rsidP="007F0C61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F0C6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:rsidR="00366CFA" w:rsidRDefault="00366CFA" w:rsidP="00366C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366CFA" w:rsidRPr="00837D80" w:rsidRDefault="00366CFA" w:rsidP="001D6ABC">
      <w:pPr>
        <w:pStyle w:val="Sraopastraipa"/>
        <w:numPr>
          <w:ilvl w:val="0"/>
          <w:numId w:val="8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KGR – kolegialusis grįžtamasis ryšys.</w:t>
      </w:r>
    </w:p>
    <w:p w:rsidR="00366CFA" w:rsidRPr="00837D80" w:rsidRDefault="00366CFA" w:rsidP="001D6ABC">
      <w:pPr>
        <w:pStyle w:val="Sraopastraipa"/>
        <w:numPr>
          <w:ilvl w:val="0"/>
          <w:numId w:val="8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Kolegialaus grįžtamojo ryšio dėmesio centre yra pamoka ir mokymasis.</w:t>
      </w:r>
    </w:p>
    <w:p w:rsidR="00366CFA" w:rsidRPr="00837D80" w:rsidRDefault="00366CFA" w:rsidP="001D6ABC">
      <w:pPr>
        <w:pStyle w:val="Sraopastraipa"/>
        <w:numPr>
          <w:ilvl w:val="0"/>
          <w:numId w:val="8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Tikslas – sukurti vidinę kolegialaus grįžtamojo ryšio kultūrą gimnazijoje.</w:t>
      </w:r>
    </w:p>
    <w:p w:rsidR="00366CFA" w:rsidRPr="00837D80" w:rsidRDefault="00366CFA" w:rsidP="001D6ABC">
      <w:pPr>
        <w:pStyle w:val="Sraopastraipa"/>
        <w:numPr>
          <w:ilvl w:val="0"/>
          <w:numId w:val="8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KGR remiasi geranoriškumo, savitarpio pasitikėjimo bei pagarbos principais.</w:t>
      </w:r>
    </w:p>
    <w:p w:rsidR="00366CFA" w:rsidRPr="00837D80" w:rsidRDefault="00366CFA" w:rsidP="0069623D">
      <w:pPr>
        <w:pStyle w:val="Sraopastraipa"/>
        <w:numPr>
          <w:ilvl w:val="0"/>
          <w:numId w:val="8"/>
        </w:numPr>
        <w:spacing w:after="0"/>
        <w:ind w:left="721" w:hanging="437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Šiame KGR apraše numatomi vykdymo prasmė,  susitarimai, lūkesčiai,  konfidencialumo sutartis, vykdymo laikas,</w:t>
      </w:r>
    </w:p>
    <w:p w:rsidR="00366CFA" w:rsidRPr="00366CFA" w:rsidRDefault="00366CFA" w:rsidP="00366C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66CFA" w:rsidRPr="00BD6EC6" w:rsidRDefault="00366CFA" w:rsidP="007F0C61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ATSAKINGI ASMENYS IR JŲ FUNKCIJOS</w:t>
      </w:r>
    </w:p>
    <w:p w:rsidR="00BD6EC6" w:rsidRDefault="00BD6EC6" w:rsidP="00BD6EC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D6EC6" w:rsidRDefault="00BD6EC6" w:rsidP="00BD6EC6">
      <w:pPr>
        <w:pStyle w:val="Sraopastraipa"/>
        <w:numPr>
          <w:ilvl w:val="0"/>
          <w:numId w:val="9"/>
        </w:numPr>
        <w:ind w:hanging="436"/>
        <w:rPr>
          <w:b/>
          <w:sz w:val="24"/>
          <w:szCs w:val="24"/>
        </w:rPr>
      </w:pPr>
      <w:r w:rsidRPr="00366CFA">
        <w:rPr>
          <w:b/>
          <w:sz w:val="24"/>
          <w:szCs w:val="24"/>
        </w:rPr>
        <w:t>Mokytojai</w:t>
      </w:r>
      <w:r>
        <w:rPr>
          <w:b/>
          <w:sz w:val="24"/>
          <w:szCs w:val="24"/>
        </w:rPr>
        <w:t>:</w:t>
      </w:r>
    </w:p>
    <w:p w:rsidR="00BD6EC6" w:rsidRPr="00837D80" w:rsidRDefault="00BD6EC6" w:rsidP="00BD6EC6">
      <w:pPr>
        <w:pStyle w:val="Sraopastraipa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pasirašo konfidencialumo sutartį;</w:t>
      </w:r>
    </w:p>
    <w:p w:rsidR="00BD6EC6" w:rsidRPr="00837D80" w:rsidRDefault="00BD6EC6" w:rsidP="00BD6EC6">
      <w:pPr>
        <w:pStyle w:val="Sraopastraipa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kolegą į pamoką kviečia su tikslu/pas kolegą į pamoką prašosi priimamas su tikslu;</w:t>
      </w:r>
    </w:p>
    <w:p w:rsidR="00BD6EC6" w:rsidRPr="00837D80" w:rsidRDefault="00BD6EC6" w:rsidP="00BD6EC6">
      <w:pPr>
        <w:pStyle w:val="Sraopastraipa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lastRenderedPageBreak/>
        <w:t>tikslą formuluoja tokį, kuris skatintų diskusiją (konkretų arba atvirą), kurį aptaria ir suderina iš anksto;</w:t>
      </w:r>
    </w:p>
    <w:p w:rsidR="00BD6EC6" w:rsidRPr="00837D80" w:rsidRDefault="00BD6EC6" w:rsidP="00BD6EC6">
      <w:pPr>
        <w:pStyle w:val="Sraopastraipa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stebėdami pamoką užpildo stebėjimo lentelę;</w:t>
      </w:r>
    </w:p>
    <w:p w:rsidR="00BD6EC6" w:rsidRPr="00837D80" w:rsidRDefault="00BD6EC6" w:rsidP="00BD6EC6">
      <w:pPr>
        <w:pStyle w:val="Sraopastraipa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iš anksto numato ir susiderina stebėtos pam</w:t>
      </w:r>
      <w:r w:rsidR="00671459">
        <w:rPr>
          <w:rFonts w:ascii="Times New Roman" w:hAnsi="Times New Roman" w:cs="Times New Roman"/>
          <w:sz w:val="24"/>
          <w:szCs w:val="24"/>
        </w:rPr>
        <w:t>okos aptarimo laiką ir vietą</w:t>
      </w:r>
      <w:r w:rsidRPr="00837D80">
        <w:rPr>
          <w:rFonts w:ascii="Times New Roman" w:hAnsi="Times New Roman" w:cs="Times New Roman"/>
          <w:sz w:val="24"/>
          <w:szCs w:val="24"/>
        </w:rPr>
        <w:t>;</w:t>
      </w:r>
    </w:p>
    <w:p w:rsidR="00BD6EC6" w:rsidRPr="00837D80" w:rsidRDefault="00BD6EC6" w:rsidP="00BD6EC6">
      <w:pPr>
        <w:pStyle w:val="Sraopastraipa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stebėtojų poras sudaro patys;</w:t>
      </w:r>
    </w:p>
    <w:p w:rsidR="00BD6EC6" w:rsidRPr="00671459" w:rsidRDefault="00BD6EC6" w:rsidP="00671459">
      <w:pPr>
        <w:pStyle w:val="Sraopastraipa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sutarta forma administracijai pateikia grįžtamąją informaciją;</w:t>
      </w:r>
    </w:p>
    <w:p w:rsidR="00BD6EC6" w:rsidRPr="00837D80" w:rsidRDefault="00BD6EC6" w:rsidP="00511BFA">
      <w:pPr>
        <w:pStyle w:val="Sraopastraipa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Pamokos stebėjimo protokolas – mokytojo nuosavybė;</w:t>
      </w:r>
    </w:p>
    <w:p w:rsidR="00BD6EC6" w:rsidRPr="00837D80" w:rsidRDefault="00BD6EC6" w:rsidP="00511BFA">
      <w:pPr>
        <w:pStyle w:val="Sraopastraipa"/>
        <w:numPr>
          <w:ilvl w:val="0"/>
          <w:numId w:val="10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Laikosi susitarimų.</w:t>
      </w:r>
    </w:p>
    <w:p w:rsidR="00BD6EC6" w:rsidRPr="00774212" w:rsidRDefault="00BD6EC6" w:rsidP="00BD6EC6">
      <w:pPr>
        <w:pStyle w:val="Sraopastraipa"/>
        <w:jc w:val="both"/>
        <w:rPr>
          <w:sz w:val="24"/>
          <w:szCs w:val="24"/>
        </w:rPr>
      </w:pPr>
    </w:p>
    <w:p w:rsidR="00BD6EC6" w:rsidRDefault="00BD6EC6" w:rsidP="00BD6EC6">
      <w:pPr>
        <w:pStyle w:val="Sraopastraipa"/>
        <w:numPr>
          <w:ilvl w:val="0"/>
          <w:numId w:val="9"/>
        </w:numPr>
        <w:ind w:hanging="4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Administracija:</w:t>
      </w:r>
    </w:p>
    <w:p w:rsidR="00BD6EC6" w:rsidRPr="00837D80" w:rsidRDefault="00BD6EC6" w:rsidP="00BD6EC6">
      <w:pPr>
        <w:pStyle w:val="Sraopastraipa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Atlieka grįžtamojo ryšio situacijos analizę;</w:t>
      </w:r>
    </w:p>
    <w:p w:rsidR="00BD6EC6" w:rsidRPr="00837D80" w:rsidRDefault="00BD6EC6" w:rsidP="00BD6EC6">
      <w:pPr>
        <w:pStyle w:val="Sraopastraipa"/>
        <w:numPr>
          <w:ilvl w:val="0"/>
          <w:numId w:val="11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Jei mokytojams nepavyksta susiderinti pamokos stebėjimo laiko, organizuoja pavadavimą;</w:t>
      </w:r>
    </w:p>
    <w:p w:rsidR="00BD6EC6" w:rsidRPr="00837D80" w:rsidRDefault="00BD6EC6" w:rsidP="0069623D">
      <w:pPr>
        <w:pStyle w:val="Sraopastraipa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sz w:val="24"/>
          <w:szCs w:val="24"/>
        </w:rPr>
        <w:t>Iki birželio 10 d. organizuoja KGR refleksiją;</w:t>
      </w:r>
    </w:p>
    <w:p w:rsidR="00BD6EC6" w:rsidRDefault="00BD6EC6" w:rsidP="00BD6EC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D6EC6" w:rsidRPr="001D6ABC" w:rsidRDefault="00BD6EC6" w:rsidP="007F0C61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GRĮŽTAMOJO RYŠIO TEIKIMAS</w:t>
      </w:r>
    </w:p>
    <w:p w:rsidR="00BD6EC6" w:rsidRPr="00837D80" w:rsidRDefault="00BD6EC6" w:rsidP="00837D80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  <w:sz w:val="28"/>
          <w:szCs w:val="28"/>
        </w:rPr>
        <w:br/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Aš teikiu </w:t>
      </w:r>
      <w:r w:rsidRPr="0083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kolegai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7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kolegei</w:t>
      </w:r>
      <w:r w:rsidRPr="0083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7D80">
        <w:rPr>
          <w:rFonts w:ascii="Times New Roman" w:hAnsi="Times New Roman" w:cs="Times New Roman"/>
          <w:color w:val="000000"/>
          <w:sz w:val="24"/>
          <w:szCs w:val="24"/>
        </w:rPr>
        <w:t>grįžtamąją informaciją.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Aš kalbu </w:t>
      </w:r>
      <w:r w:rsidRPr="0083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pirmuoju asmeniu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(„aš“ asmeniu perteikiamos žinios). (Aš mačiau…, </w:t>
      </w:r>
      <w:r w:rsidRPr="00837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ne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: buvo matyti…)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Aš aprašau </w:t>
      </w:r>
      <w:r w:rsidRPr="0083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konkretų veiksmą/elgesį.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(Ką nufilmuotų vaizdo kamera?)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Aš </w:t>
      </w:r>
      <w:r w:rsidRPr="0083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domiuosi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savo pašnekovu. (Susidomėjimą rodantys </w:t>
      </w:r>
      <w:r w:rsidRPr="0083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tiriamieji klausimai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dažnai suteikia daugiau impulsų</w:t>
      </w:r>
      <w:r w:rsidR="00837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refleksijai nei vertinantys teiginiai ar patarimai.)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Aš </w:t>
      </w:r>
      <w:r w:rsidRPr="0083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paisau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savo partnerės/partnerio. (Neverbaliniai signalai suteikia man informacijos apie tai, kaip jis/ji</w:t>
      </w:r>
      <w:r w:rsidR="00837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jaučiasi.)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Aš pasakau savo pašnekovui, </w:t>
      </w:r>
      <w:r w:rsidRPr="0083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 išmokau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lankydamasis jo pamokoje.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Aš laikausi </w:t>
      </w:r>
      <w:r w:rsidRPr="0083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susitarimų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Pateikiu </w:t>
      </w:r>
      <w:r w:rsidRPr="0083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teigiamą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grįžtamąją informaciją (pvz.: Ko aš išmokau?).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Esu </w:t>
      </w:r>
      <w:r w:rsidRPr="00837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sąžiningas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. (Nepatekti į „kito asmens tausojimo“ pinkles)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>Aš negalvoju už savo partnerį. Tą gali padaryti jis pats. (pvz. „Tu tai padarei dėl to, kad …“)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>Atsargiai formuluoti klausimus! (Klausimu: „Argi tu nepastebėjai, kad …?“ Jūs išreiškiate vertinimą. Jeigu</w:t>
      </w:r>
      <w:r w:rsidR="00837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klausiate, paaiškinkite, kodėl tą darote.)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>Vengti apibendrinimų ir moralizavimo (nesakyti: „reikėtų…“, „Mokytojai privalo…“).</w:t>
      </w:r>
    </w:p>
    <w:p w:rsidR="00837D80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Grįžtamojo ryšio pokalbis nėra vertinimo pokalbis, be to jis nėra skirtas tam, </w:t>
      </w:r>
      <w:r w:rsidR="00671459">
        <w:rPr>
          <w:rFonts w:ascii="Times New Roman" w:hAnsi="Times New Roman" w:cs="Times New Roman"/>
          <w:color w:val="000000"/>
          <w:sz w:val="24"/>
          <w:szCs w:val="24"/>
        </w:rPr>
        <w:t xml:space="preserve">kad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įrodytumėte savo gebėjimą</w:t>
      </w:r>
      <w:r w:rsidR="00837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vertinti!</w:t>
      </w:r>
    </w:p>
    <w:p w:rsidR="00BD6EC6" w:rsidRPr="00837D80" w:rsidRDefault="00BD6EC6" w:rsidP="00837D80">
      <w:pPr>
        <w:pStyle w:val="Sraopastraipa"/>
        <w:numPr>
          <w:ilvl w:val="0"/>
          <w:numId w:val="12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>Pačiam prašy</w:t>
      </w:r>
      <w:r w:rsidR="0069623D">
        <w:rPr>
          <w:rFonts w:ascii="Times New Roman" w:hAnsi="Times New Roman" w:cs="Times New Roman"/>
          <w:color w:val="000000"/>
          <w:sz w:val="24"/>
          <w:szCs w:val="24"/>
        </w:rPr>
        <w:t>ti grįžtamosios informacijos („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kaip Tu priėmei mano grįžtamąjį ryšį? Kokius jausmus jis tavyje</w:t>
      </w:r>
      <w:r w:rsidR="00837D80"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D80">
        <w:rPr>
          <w:rFonts w:ascii="Times New Roman" w:hAnsi="Times New Roman" w:cs="Times New Roman"/>
          <w:color w:val="000000"/>
          <w:sz w:val="24"/>
          <w:szCs w:val="24"/>
        </w:rPr>
        <w:t>sukėlė?“)</w:t>
      </w:r>
    </w:p>
    <w:p w:rsidR="00837D80" w:rsidRPr="00837D80" w:rsidRDefault="00837D80" w:rsidP="0069623D">
      <w:pPr>
        <w:pStyle w:val="Sraopastraipa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BC" w:rsidRDefault="001D6ABC" w:rsidP="007F0C61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VYKDYMO LAIKAS</w:t>
      </w: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4426" w:rsidRDefault="00CD4426" w:rsidP="0069623D">
      <w:pPr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623D">
        <w:rPr>
          <w:rFonts w:ascii="Times New Roman" w:hAnsi="Times New Roman" w:cs="Times New Roman"/>
          <w:sz w:val="24"/>
          <w:szCs w:val="24"/>
        </w:rPr>
        <w:t xml:space="preserve">Per mokslo metus įvykdyti 2 kolegialaus </w:t>
      </w:r>
      <w:r w:rsidR="0069623D">
        <w:rPr>
          <w:rFonts w:ascii="Times New Roman" w:hAnsi="Times New Roman" w:cs="Times New Roman"/>
          <w:sz w:val="24"/>
          <w:szCs w:val="24"/>
        </w:rPr>
        <w:t>grįžtamojo ryšio etapus: spalio–lapkričio ir balandžio–</w:t>
      </w:r>
      <w:r w:rsidRPr="0069623D">
        <w:rPr>
          <w:rFonts w:ascii="Times New Roman" w:hAnsi="Times New Roman" w:cs="Times New Roman"/>
          <w:sz w:val="24"/>
          <w:szCs w:val="24"/>
        </w:rPr>
        <w:t>gegužės mėnesiais  (po 2 pamokas). I etapas vykdomas</w:t>
      </w:r>
      <w:r w:rsidR="0069623D">
        <w:rPr>
          <w:rFonts w:ascii="Times New Roman" w:hAnsi="Times New Roman" w:cs="Times New Roman"/>
          <w:sz w:val="24"/>
          <w:szCs w:val="24"/>
        </w:rPr>
        <w:t xml:space="preserve"> 2017 balandžio–</w:t>
      </w:r>
      <w:r w:rsidRPr="0069623D">
        <w:rPr>
          <w:rFonts w:ascii="Times New Roman" w:hAnsi="Times New Roman" w:cs="Times New Roman"/>
          <w:sz w:val="24"/>
          <w:szCs w:val="24"/>
        </w:rPr>
        <w:t>gegužės mėnesiais.</w:t>
      </w:r>
    </w:p>
    <w:p w:rsidR="0069623D" w:rsidRPr="0069623D" w:rsidRDefault="0069623D" w:rsidP="0069623D">
      <w:pPr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57B3" w:rsidRDefault="00F057B3" w:rsidP="00F057B3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 p</w:t>
      </w:r>
      <w:r w:rsidRPr="00F057B3">
        <w:rPr>
          <w:rFonts w:ascii="Times New Roman" w:eastAsia="Times New Roman" w:hAnsi="Times New Roman" w:cs="Times New Roman"/>
          <w:sz w:val="24"/>
          <w:szCs w:val="24"/>
          <w:lang w:eastAsia="lt-LT"/>
        </w:rPr>
        <w:t>riedas</w:t>
      </w:r>
    </w:p>
    <w:p w:rsidR="00F057B3" w:rsidRDefault="00F057B3" w:rsidP="00F057B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PAMOKOS STEBĖJIMO PROTOKOLAS</w:t>
      </w:r>
    </w:p>
    <w:tbl>
      <w:tblPr>
        <w:tblStyle w:val="Lentelstinklelis"/>
        <w:tblW w:w="0" w:type="auto"/>
        <w:tblInd w:w="392" w:type="dxa"/>
        <w:tblLook w:val="04A0" w:firstRow="1" w:lastRow="0" w:firstColumn="1" w:lastColumn="0" w:noHBand="0" w:noVBand="1"/>
      </w:tblPr>
      <w:tblGrid>
        <w:gridCol w:w="5078"/>
        <w:gridCol w:w="4384"/>
      </w:tblGrid>
      <w:tr w:rsidR="00F057B3" w:rsidTr="0069623D">
        <w:tc>
          <w:tcPr>
            <w:tcW w:w="5078" w:type="dxa"/>
          </w:tcPr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vardas, pavardė</w:t>
            </w: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84" w:type="dxa"/>
          </w:tcPr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Stebėtojo vardas, pavardė</w:t>
            </w:r>
          </w:p>
        </w:tc>
      </w:tr>
      <w:tr w:rsidR="00F057B3" w:rsidTr="0069623D">
        <w:tc>
          <w:tcPr>
            <w:tcW w:w="5078" w:type="dxa"/>
          </w:tcPr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Pamoka</w:t>
            </w: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84" w:type="dxa"/>
          </w:tcPr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</w:t>
            </w:r>
          </w:p>
        </w:tc>
      </w:tr>
      <w:tr w:rsidR="00F057B3" w:rsidTr="0069623D">
        <w:tc>
          <w:tcPr>
            <w:tcW w:w="5078" w:type="dxa"/>
          </w:tcPr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84" w:type="dxa"/>
          </w:tcPr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skaičius</w:t>
            </w:r>
          </w:p>
        </w:tc>
      </w:tr>
      <w:tr w:rsidR="00F057B3" w:rsidTr="0069623D">
        <w:tc>
          <w:tcPr>
            <w:tcW w:w="9462" w:type="dxa"/>
            <w:gridSpan w:val="2"/>
          </w:tcPr>
          <w:p w:rsidR="00F057B3" w:rsidRDefault="00F057B3" w:rsidP="00F057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STEBĖTOJO PASTEBĖJIMAI</w:t>
            </w:r>
          </w:p>
        </w:tc>
      </w:tr>
      <w:tr w:rsidR="00F057B3" w:rsidTr="0069623D">
        <w:tc>
          <w:tcPr>
            <w:tcW w:w="9462" w:type="dxa"/>
            <w:gridSpan w:val="2"/>
          </w:tcPr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Pamokos stebėjimo tikslo aspektai</w:t>
            </w:r>
            <w:r w:rsidR="00BD6E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057B3" w:rsidTr="0069623D">
        <w:tc>
          <w:tcPr>
            <w:tcW w:w="9462" w:type="dxa"/>
            <w:gridSpan w:val="2"/>
          </w:tcPr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Apsilankymo teigiami aspektai</w:t>
            </w:r>
            <w:r w:rsidR="00BD6E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057B3" w:rsidTr="0069623D">
        <w:tc>
          <w:tcPr>
            <w:tcW w:w="9462" w:type="dxa"/>
            <w:gridSpan w:val="2"/>
          </w:tcPr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Ką ir kaip daryčiau kitaip</w:t>
            </w:r>
            <w:r w:rsidR="00BD6E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057B3" w:rsidTr="0069623D">
        <w:tc>
          <w:tcPr>
            <w:tcW w:w="9462" w:type="dxa"/>
            <w:gridSpan w:val="2"/>
          </w:tcPr>
          <w:p w:rsidR="00F057B3" w:rsidRDefault="00BD6EC6" w:rsidP="00F057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STEBIMO </w:t>
            </w:r>
            <w:r w:rsidR="00F057B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REFLEKSIJA</w:t>
            </w:r>
          </w:p>
        </w:tc>
      </w:tr>
      <w:tr w:rsidR="00F057B3" w:rsidTr="0069623D">
        <w:tc>
          <w:tcPr>
            <w:tcW w:w="9462" w:type="dxa"/>
            <w:gridSpan w:val="2"/>
          </w:tcPr>
          <w:p w:rsidR="00F057B3" w:rsidRDefault="00BD6EC6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 svarbi grįžtamoji informacija:</w:t>
            </w:r>
          </w:p>
          <w:p w:rsidR="00BD6EC6" w:rsidRDefault="00BD6EC6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D6EC6" w:rsidRDefault="00BD6EC6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D6EC6" w:rsidRDefault="00BD6EC6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D6EC6" w:rsidRDefault="00BD6EC6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057B3" w:rsidRDefault="00F057B3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6EC6" w:rsidTr="0069623D">
        <w:tc>
          <w:tcPr>
            <w:tcW w:w="9462" w:type="dxa"/>
            <w:gridSpan w:val="2"/>
          </w:tcPr>
          <w:p w:rsidR="00BD6EC6" w:rsidRDefault="00BD6EC6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 susilaukiau pastiprinimo:</w:t>
            </w:r>
          </w:p>
          <w:p w:rsidR="00BD6EC6" w:rsidRDefault="00BD6EC6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D6EC6" w:rsidRDefault="00BD6EC6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D6EC6" w:rsidRDefault="00BD6EC6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D6EC6" w:rsidRDefault="00BD6EC6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D6EC6" w:rsidRDefault="00BD6EC6" w:rsidP="00F057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9623D" w:rsidRDefault="00F057B3" w:rsidP="006962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57B3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Mokytojo parašas:</w:t>
      </w:r>
    </w:p>
    <w:p w:rsidR="0069623D" w:rsidRDefault="0069623D" w:rsidP="00696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9623D" w:rsidRDefault="0069623D" w:rsidP="00696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7D80" w:rsidRPr="0069623D" w:rsidRDefault="00F057B3" w:rsidP="0069623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57B3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Stebėtojo parašas:</w:t>
      </w:r>
    </w:p>
    <w:p w:rsidR="00837D80" w:rsidRPr="0069623D" w:rsidRDefault="00837D80" w:rsidP="00837D80">
      <w:pPr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623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 priedas</w:t>
      </w:r>
    </w:p>
    <w:p w:rsidR="00837D80" w:rsidRDefault="00837D80" w:rsidP="00CD4426">
      <w:pPr>
        <w:spacing w:after="0" w:line="240" w:lineRule="auto"/>
        <w:ind w:left="1080"/>
        <w:contextualSpacing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F057B3" w:rsidRDefault="00F057B3" w:rsidP="00CD4426">
      <w:pPr>
        <w:spacing w:after="0" w:line="240" w:lineRule="auto"/>
        <w:ind w:left="1080"/>
        <w:contextualSpacing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Konfidencialumo sutartis</w:t>
      </w:r>
    </w:p>
    <w:p w:rsidR="00F057B3" w:rsidRDefault="00F057B3" w:rsidP="00CD4426">
      <w:pPr>
        <w:spacing w:after="0" w:line="240" w:lineRule="auto"/>
        <w:ind w:left="1080"/>
        <w:contextualSpacing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9246"/>
      </w:tblGrid>
      <w:tr w:rsidR="00F057B3" w:rsidTr="0069623D">
        <w:tc>
          <w:tcPr>
            <w:tcW w:w="9246" w:type="dxa"/>
          </w:tcPr>
          <w:p w:rsidR="00F057B3" w:rsidRDefault="00F057B3" w:rsidP="00F057B3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Mes įsipareigojame būti atviri vienas kito atžvilgiu ir saugoti konfidencialumą išorės</w:t>
            </w:r>
            <w:r w:rsidRPr="00F0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atžvilgiu. Diskretiškumo laipsnį nustato tik tas asmuo, kurio pamokoje yra lankomasi,</w:t>
            </w:r>
            <w:r w:rsidRPr="00F0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 pamokoje besilankantis asmuo turi jo paisyti. Jeigu stebint pamoką nustatomi</w:t>
            </w:r>
            <w:r w:rsidRPr="00F0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nusižengimai profesinei mokytojo misijai arba profesinės etikos taisyklėms, abu</w:t>
            </w:r>
            <w:r w:rsidRPr="00F0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grįžtamojo ryšio partneriai susitaria dėl tolesnių žingsnių. Tokiu atveju būtina</w:t>
            </w:r>
            <w:r w:rsidRPr="00F0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informuoti mokyklos vadovybę.</w:t>
            </w:r>
          </w:p>
          <w:p w:rsidR="00F057B3" w:rsidRPr="00F057B3" w:rsidRDefault="00F057B3" w:rsidP="00F057B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57B3" w:rsidRPr="00837D80" w:rsidRDefault="00F057B3" w:rsidP="00F057B3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Vieta ir data:</w:t>
      </w:r>
    </w:p>
    <w:p w:rsidR="00F057B3" w:rsidRPr="00837D80" w:rsidRDefault="00F057B3" w:rsidP="00CD4426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57B3" w:rsidRPr="00837D80" w:rsidRDefault="00F057B3" w:rsidP="00F057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Pamokoje besilankantis asmuo:                                </w:t>
      </w:r>
    </w:p>
    <w:p w:rsidR="00F057B3" w:rsidRPr="00837D80" w:rsidRDefault="00F057B3" w:rsidP="00F057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426" w:rsidRPr="00837D80" w:rsidRDefault="00F057B3" w:rsidP="00F05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            Asmuo, kurio pamokoje yra lankomasi:</w:t>
      </w: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057B3" w:rsidRDefault="00F057B3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057B3" w:rsidRDefault="00F057B3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057B3" w:rsidRDefault="00F057B3" w:rsidP="00F057B3">
      <w:pPr>
        <w:spacing w:after="0" w:line="240" w:lineRule="auto"/>
        <w:ind w:left="1080"/>
        <w:contextualSpacing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Konfidencialumo sutartis</w:t>
      </w:r>
    </w:p>
    <w:p w:rsidR="00F057B3" w:rsidRDefault="00F057B3" w:rsidP="00F057B3">
      <w:pPr>
        <w:spacing w:after="0" w:line="240" w:lineRule="auto"/>
        <w:ind w:left="1080"/>
        <w:contextualSpacing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9246"/>
      </w:tblGrid>
      <w:tr w:rsidR="00F057B3" w:rsidTr="0069623D">
        <w:tc>
          <w:tcPr>
            <w:tcW w:w="9246" w:type="dxa"/>
          </w:tcPr>
          <w:p w:rsidR="00F057B3" w:rsidRDefault="00F057B3" w:rsidP="009F1557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Mes įsipareigojame būti atviri vienas kito atžvilgiu ir saugoti konfidencialumą išorės</w:t>
            </w:r>
            <w:r w:rsidRPr="00F0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atžvilgiu. Diskretiškumo laipsnį nustato tik tas asmuo, kurio pamokoje yra lankomasi,</w:t>
            </w:r>
            <w:r w:rsidRPr="00F0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 pamokoje besilankantis asmuo turi jo paisyti. Jeigu stebint pamoką nustatomi</w:t>
            </w:r>
            <w:r w:rsidRPr="00F0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nusižengimai profesinei mokytojo misijai arba profesinės etikos taisyklėms, abu</w:t>
            </w:r>
            <w:r w:rsidRPr="00F0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grįžtamojo ryšio partneriai susitaria dėl tolesnių žingsnių. Tokiu atveju būtina</w:t>
            </w:r>
            <w:r w:rsidRPr="00F0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057B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informuoti mokyklos vadovybę.</w:t>
            </w:r>
          </w:p>
          <w:p w:rsidR="00F057B3" w:rsidRPr="00F057B3" w:rsidRDefault="00F057B3" w:rsidP="009F155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57B3" w:rsidRPr="00837D80" w:rsidRDefault="00F057B3" w:rsidP="00F057B3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Vieta ir data:</w:t>
      </w:r>
    </w:p>
    <w:p w:rsidR="00F057B3" w:rsidRPr="00837D80" w:rsidRDefault="00F057B3" w:rsidP="00F057B3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57B3" w:rsidRPr="00837D80" w:rsidRDefault="00F057B3" w:rsidP="00F057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Pamokoje besilankantis asmuo:                                </w:t>
      </w:r>
    </w:p>
    <w:p w:rsidR="00F057B3" w:rsidRPr="00837D80" w:rsidRDefault="00F057B3" w:rsidP="00F057B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7B3" w:rsidRPr="00837D80" w:rsidRDefault="00F057B3" w:rsidP="00F057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37D80">
        <w:rPr>
          <w:rFonts w:ascii="Times New Roman" w:hAnsi="Times New Roman" w:cs="Times New Roman"/>
          <w:color w:val="000000"/>
          <w:sz w:val="24"/>
          <w:szCs w:val="24"/>
        </w:rPr>
        <w:t xml:space="preserve">            Asmuo, kurio pamokoje yra lankomasi:</w:t>
      </w:r>
    </w:p>
    <w:p w:rsidR="00F057B3" w:rsidRPr="00837D80" w:rsidRDefault="00F057B3" w:rsidP="00F057B3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057B3" w:rsidRDefault="00F057B3" w:rsidP="00F057B3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D6EC6" w:rsidRDefault="00BD6EC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D6EC6" w:rsidRDefault="00BD6EC6" w:rsidP="006962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4426" w:rsidRDefault="00CD4426" w:rsidP="00CD442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37D80" w:rsidRDefault="00837D80" w:rsidP="00837D80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7D8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3 priedas</w:t>
      </w:r>
    </w:p>
    <w:p w:rsidR="001D1916" w:rsidRDefault="001D1916" w:rsidP="00837D80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1916" w:rsidRDefault="001D1916" w:rsidP="00837D80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7D80" w:rsidRDefault="00837D80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STEBĖTOS PAMOKOS INFORMACIJA VADOVAMS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362"/>
        <w:gridCol w:w="4384"/>
      </w:tblGrid>
      <w:tr w:rsidR="00837D80" w:rsidTr="0069623D">
        <w:tc>
          <w:tcPr>
            <w:tcW w:w="5362" w:type="dxa"/>
          </w:tcPr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vardas, pavardė</w:t>
            </w: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84" w:type="dxa"/>
          </w:tcPr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Stebėtojo vardas, pavardė</w:t>
            </w:r>
          </w:p>
        </w:tc>
      </w:tr>
      <w:tr w:rsidR="00837D80" w:rsidTr="0069623D">
        <w:tc>
          <w:tcPr>
            <w:tcW w:w="5362" w:type="dxa"/>
          </w:tcPr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Pamoka</w:t>
            </w: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84" w:type="dxa"/>
          </w:tcPr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</w:t>
            </w:r>
          </w:p>
        </w:tc>
      </w:tr>
      <w:tr w:rsidR="00837D80" w:rsidTr="0069623D">
        <w:tc>
          <w:tcPr>
            <w:tcW w:w="5362" w:type="dxa"/>
          </w:tcPr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384" w:type="dxa"/>
          </w:tcPr>
          <w:p w:rsidR="001D1916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skaičius</w:t>
            </w:r>
          </w:p>
          <w:p w:rsidR="001D1916" w:rsidRDefault="001D1916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37D80" w:rsidTr="0069623D">
        <w:tc>
          <w:tcPr>
            <w:tcW w:w="9746" w:type="dxa"/>
            <w:gridSpan w:val="2"/>
          </w:tcPr>
          <w:p w:rsidR="00837D80" w:rsidRDefault="00837D80" w:rsidP="00B920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STEBIMO MOKYTOJO REFLEKSIJA</w:t>
            </w:r>
          </w:p>
        </w:tc>
      </w:tr>
      <w:tr w:rsidR="00837D80" w:rsidTr="0069623D">
        <w:tc>
          <w:tcPr>
            <w:tcW w:w="9746" w:type="dxa"/>
            <w:gridSpan w:val="2"/>
          </w:tcPr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1D1916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mintys apie pamoką, kuriomis noriu pasidalinti.</w:t>
            </w: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1916" w:rsidRDefault="001D1916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1916" w:rsidRDefault="001D1916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37D80" w:rsidTr="0069623D">
        <w:tc>
          <w:tcPr>
            <w:tcW w:w="9746" w:type="dxa"/>
            <w:gridSpan w:val="2"/>
          </w:tcPr>
          <w:p w:rsidR="00837D80" w:rsidRDefault="00837D80" w:rsidP="00837D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STEBĖTOJO REFLEKSIJA</w:t>
            </w:r>
          </w:p>
        </w:tc>
      </w:tr>
      <w:tr w:rsidR="00837D80" w:rsidTr="0069623D">
        <w:tc>
          <w:tcPr>
            <w:tcW w:w="9746" w:type="dxa"/>
            <w:gridSpan w:val="2"/>
          </w:tcPr>
          <w:p w:rsidR="00837D80" w:rsidRDefault="00837D80" w:rsidP="00837D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3stipriosios pusės</w:t>
            </w:r>
            <w:r w:rsidR="001D19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(jei kvietė į pamoką su tikslu)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 išmokau</w:t>
            </w:r>
            <w:r w:rsidR="001D19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(jei prašiausi su tikslu)</w:t>
            </w: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D1916" w:rsidRDefault="001D1916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37D80" w:rsidRDefault="00837D80" w:rsidP="00B920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37D80" w:rsidRDefault="00837D80" w:rsidP="00837D80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37D80" w:rsidRPr="00F057B3" w:rsidRDefault="00837D80" w:rsidP="00696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57B3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Mokytojo parašas:</w:t>
      </w:r>
    </w:p>
    <w:p w:rsidR="00837D80" w:rsidRDefault="00837D80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9623D" w:rsidRPr="00F057B3" w:rsidRDefault="0069623D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37D80" w:rsidRPr="00F057B3" w:rsidRDefault="00837D80" w:rsidP="00696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057B3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Stebėtojo parašas:</w:t>
      </w:r>
    </w:p>
    <w:p w:rsidR="00837D80" w:rsidRDefault="00837D80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1916" w:rsidRDefault="001D1916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1916" w:rsidRDefault="001D1916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1916" w:rsidRDefault="001D1916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1916" w:rsidRDefault="001D1916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1916" w:rsidRDefault="001D1916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1916" w:rsidRDefault="001D1916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1916" w:rsidRDefault="001D1916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9623D" w:rsidRDefault="0069623D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1916" w:rsidRDefault="001D1916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1916" w:rsidRDefault="001D1916" w:rsidP="00837D8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D1916" w:rsidRDefault="001D1916" w:rsidP="001D1916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4 priedas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1D1916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Pamokų stebėjimo užduočių pavyzdžiai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Pamokų stebėjimo užduotys, kuriose dėmesys sutelkiamas į mokinių elgseną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1. Kaip stipriai mokiniai įsitraukia į pamoką? Iš ko matyti, kad jie domisi ar nesidomi tuo, kas vyksta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pamokoje?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2. Stebėk mano santykį su mokiniais. Kaip aš į juos kreipiuosi? Ką rodo mano laikysena? Kokius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pastebi skirtumus? Kaip reaguoja į mane mokiniai?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3. Stebėk mokinio/mokinės XY darbinę ir socialinę elgseną. Kas krenta tau į akis? Kaip jis/ji elgiasi 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kitais mokiniais ir kaip šie savo ruožtu elgiasi su juo/ja?</w:t>
      </w:r>
    </w:p>
    <w:p w:rsid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4. Kaip elgiasi tam tikras mokinys/tam tikra mokinė ir kaip aš į jį/ją reaguoju?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5. Stebėk tris galinėje suolų eilėje sėdinčius mokinius. Kartais ten kyla trukdžiai.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6. Kurie mokiniai krenta į akis tuo, jog rodo susidomėjimą/ nuobodžiauja/ yra neramūs/ yra ypatingai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tylūs ir t.t. Kokia elgsena išduoda susidomėjimą/ nuobodulį/ ramumą/ neramumą/ energiją ir t.t.?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7. Ką pastebi mokinių tarpusavio santykiuose (mikroklimate)? Ar yra kažkas, kas tam tikrų grupių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tarpusavio santykiuose ypatingai krenta į akis (pvz. tarp berniukų ir mergaičių)?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8. Kiek mokinių, man paaiškinus pateiktą užduotį, iš karto aktyviai ėmėsi darbo? Ar visi mokiniai žino,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ką reikia daryti?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9. Iš ko matyti, kad jaunuoliai yra savarankiški? Ar šioje srityje yra skirtumų? Ar įžvelgi mano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elgsenoje požymių, bylojančių apie paramą mokiniams?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Pamokų stebėjimo užduotys, kuriose dėmesys sutelkiamas į pamokos organizavimą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10. Kaip aš formuluoju užduotis? Ar mokiniai supranta, ko aš iš jų noriu? Ar užduočių formuluotės yra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paprastos ar sudėtingos? Kokie darbo nurodymai yra formuluojami dar ir raštu?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11. Kiek laiko laukiu po to, kai pateikiu klausimą? Kiek laiko palieku mokiniams savo atsakymams rasti?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Ar skiriu laiko apgalvojimui, pasvarstymui, klausimų uždavimui, aptarimui porose?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12. Ar kviečiu mokinius atsakinėti pagal tą pačią nusistovėjusią tvarką? Ar yra mokinių, kuriuos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ypatingai dažnai kviečiu atsakinėti arba tokių, kurių (beveik) niekuomet nekviečiu? Kaip pasiskirsto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tarp mokinių atsakinėjimo galimybės?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13. Kaip dažnai pasiremiu ankstesniais mokinių pasisakymais, įterpdamas juos į tolesnę pamokos eigą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(pvz. pasitelkdamas mokinio/mokinės XY pateiktą klausimą arba sprendimo pavyzdį?)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14. Kaip motyvuoju mokinius? Kaip pažadinu jų susidomėjimą? Iš ko matyti, kad jie yra motyvuoti?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Kaip tai yra susiję su mano veiksmais?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15. Ar mano naudojami pavyzdžiai yra vaizdingi ir įdomūs? Ar turi jie kažką bendro su vaikų bei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jaunuolių patirties horizontu ir tuo pasauliu, kuriame jie gyvena?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16. Kokia yra mano pamokos struktūra? Ar taikau įvairias mokymo(si) formos? Ar ramūs ir judrūs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etapai keičia vienas kitą? Ar perėjimai nuo vieno pamokos etapo į kitą vyksta greitai ir sklandžiai, 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galbūt čia be reikalo prarandama laiko?</w:t>
      </w:r>
    </w:p>
    <w:p w:rsid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17. Kaip vaikai bendradarbiauja tarpusavyje? Kaip aš remiu šį bendradarbiavimą?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18. Kaip aš remiu savarankišką mokinių mokymąsi? Kokį poveikį mano pastangos daro mokiniams?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Pamokų stebėjimo užduotys, kuriose dėmesys sutelkiamas į mokytojo elgseną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19. Kaip aš reaguoju į klaidas ir klaidingus mokinių atsakymus? Ar pastebėjai neigiamos reakcijos,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menkinimo arba nekantrumo požymių?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20. Ką gali pasakyti apie mano balsą: ar kalbu ne per garsiai/ne per tyliai? Ar esu gerai girdimas? 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kalbu lėtai/greitai, aiškiai/neaiškiai? Kuo dar išsiskiria mano balsas?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21. Kaip reaguoju į mokinių pasisakymus? Ar žiūriu į juos rimtai? Veikiau „taip“ ar veikiau „ne“: iš ko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tas matyti?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22. Kokį įspūdį daro mano nežodinė raiška (gestai, mimika ir t.t.)? Ar turiu kokių nors ypatingų įpročių?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Kokius siunčiu kūno signalus? Koks elgesys liudija draugiškumą, šilumą ir nuoširdumą?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23. Kaip reaguoju į klaidas, klaidingus atsakymus, taisyklių nesilaikymą?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24. Ką gali pasakyti apie mano kalbą? Ar mano formuluotės yra taisyklingos, tikslios, aiškios ir</w:t>
      </w:r>
      <w:r w:rsidR="00B974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paprastos? Ar mokiniai mane supranta? Ar vartoju modalines dalelytes, neužbaigtus sakinius,</w:t>
      </w:r>
      <w:r w:rsidR="00B974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abejonę reiškiančius išsireiškimus („galbūt, galimas daiktas, galima būtų …“)?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25. Kaip pasitikrinu, ar mokiniai mane suprato?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26. Kaip reaguoju į trukdžius, konfliktines situacijas ir disciplinos pažeidimus? Ar reaguoju į juos greitai</w:t>
      </w:r>
      <w:r w:rsidR="00B974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tam, kad maži trukdžiai neperaugtų į didesnius? Galbūt kartais reaguoju pernelyg greitai?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27. Kaip paskirstau mokiniams savo dėmesį? Ar skiriu jo visiems mokiniams vienodai, o galbūt teikiu</w:t>
      </w:r>
      <w:r w:rsidR="00B974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pavieniams mokiniams pirmenybę?</w:t>
      </w:r>
    </w:p>
    <w:p w:rsidR="001D1916" w:rsidRP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28. Kaip reaguoju į tarp mokinių pasitaikančias konfliktines situacijas?</w:t>
      </w:r>
    </w:p>
    <w:p w:rsidR="001D1916" w:rsidRDefault="001D1916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D1916">
        <w:rPr>
          <w:rFonts w:ascii="Times New Roman" w:eastAsia="Times New Roman" w:hAnsi="Times New Roman" w:cs="Times New Roman"/>
          <w:sz w:val="24"/>
          <w:szCs w:val="24"/>
          <w:lang w:eastAsia="lt-LT"/>
        </w:rPr>
        <w:t>29. Iš ko matyti, jog į vaikus žiūriu rimtai? Ar elgiuosi su jais skirtingai?</w:t>
      </w:r>
    </w:p>
    <w:p w:rsidR="00B974F1" w:rsidRDefault="00B974F1" w:rsidP="001D1916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B974F1" w:rsidSect="0069623D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DC" w:rsidRDefault="00186BDC" w:rsidP="0069623D">
      <w:pPr>
        <w:spacing w:after="0" w:line="240" w:lineRule="auto"/>
      </w:pPr>
      <w:r>
        <w:separator/>
      </w:r>
    </w:p>
  </w:endnote>
  <w:endnote w:type="continuationSeparator" w:id="0">
    <w:p w:rsidR="00186BDC" w:rsidRDefault="00186BDC" w:rsidP="0069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DC" w:rsidRDefault="00186BDC" w:rsidP="0069623D">
      <w:pPr>
        <w:spacing w:after="0" w:line="240" w:lineRule="auto"/>
      </w:pPr>
      <w:r>
        <w:separator/>
      </w:r>
    </w:p>
  </w:footnote>
  <w:footnote w:type="continuationSeparator" w:id="0">
    <w:p w:rsidR="00186BDC" w:rsidRDefault="00186BDC" w:rsidP="0069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179398"/>
      <w:docPartObj>
        <w:docPartGallery w:val="Page Numbers (Top of Page)"/>
        <w:docPartUnique/>
      </w:docPartObj>
    </w:sdtPr>
    <w:sdtContent>
      <w:p w:rsidR="0069623D" w:rsidRDefault="0069623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E3D">
          <w:rPr>
            <w:noProof/>
          </w:rPr>
          <w:t>7</w:t>
        </w:r>
        <w:r>
          <w:fldChar w:fldCharType="end"/>
        </w:r>
      </w:p>
    </w:sdtContent>
  </w:sdt>
  <w:p w:rsidR="0069623D" w:rsidRDefault="0069623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740"/>
    <w:multiLevelType w:val="hybridMultilevel"/>
    <w:tmpl w:val="D41832E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B7918"/>
    <w:multiLevelType w:val="hybridMultilevel"/>
    <w:tmpl w:val="BDC0ED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C25F4"/>
    <w:multiLevelType w:val="hybridMultilevel"/>
    <w:tmpl w:val="62A01A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575C"/>
    <w:multiLevelType w:val="hybridMultilevel"/>
    <w:tmpl w:val="4622F2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61BE5"/>
    <w:multiLevelType w:val="hybridMultilevel"/>
    <w:tmpl w:val="8D3E10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F0D34"/>
    <w:multiLevelType w:val="hybridMultilevel"/>
    <w:tmpl w:val="6D2EF36C"/>
    <w:lvl w:ilvl="0" w:tplc="042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E2B0793"/>
    <w:multiLevelType w:val="hybridMultilevel"/>
    <w:tmpl w:val="67BAC1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077C"/>
    <w:multiLevelType w:val="hybridMultilevel"/>
    <w:tmpl w:val="8FD8E78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307919"/>
    <w:multiLevelType w:val="hybridMultilevel"/>
    <w:tmpl w:val="2E2C9AC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7579C3"/>
    <w:multiLevelType w:val="hybridMultilevel"/>
    <w:tmpl w:val="DD606A74"/>
    <w:lvl w:ilvl="0" w:tplc="042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82C2408"/>
    <w:multiLevelType w:val="hybridMultilevel"/>
    <w:tmpl w:val="6E1A4944"/>
    <w:lvl w:ilvl="0" w:tplc="17DE2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95094"/>
    <w:multiLevelType w:val="hybridMultilevel"/>
    <w:tmpl w:val="1F6CF97C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97"/>
    <w:rsid w:val="00033045"/>
    <w:rsid w:val="00186BDC"/>
    <w:rsid w:val="001B6672"/>
    <w:rsid w:val="001D1916"/>
    <w:rsid w:val="001D6ABC"/>
    <w:rsid w:val="001D6B0B"/>
    <w:rsid w:val="0024674F"/>
    <w:rsid w:val="00292C9E"/>
    <w:rsid w:val="002A2A00"/>
    <w:rsid w:val="002D5B89"/>
    <w:rsid w:val="002E706E"/>
    <w:rsid w:val="00352897"/>
    <w:rsid w:val="00366CFA"/>
    <w:rsid w:val="00386A2A"/>
    <w:rsid w:val="004A6BDD"/>
    <w:rsid w:val="004C4A98"/>
    <w:rsid w:val="00511BFA"/>
    <w:rsid w:val="00522467"/>
    <w:rsid w:val="005A49B0"/>
    <w:rsid w:val="00671459"/>
    <w:rsid w:val="0069623D"/>
    <w:rsid w:val="00774212"/>
    <w:rsid w:val="00783674"/>
    <w:rsid w:val="007F0C61"/>
    <w:rsid w:val="00837D80"/>
    <w:rsid w:val="00874D45"/>
    <w:rsid w:val="009920A5"/>
    <w:rsid w:val="00B974F1"/>
    <w:rsid w:val="00BD280A"/>
    <w:rsid w:val="00BD6EC6"/>
    <w:rsid w:val="00CD4426"/>
    <w:rsid w:val="00D15E54"/>
    <w:rsid w:val="00DA7C51"/>
    <w:rsid w:val="00F057B3"/>
    <w:rsid w:val="00F7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57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6A2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D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96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623D"/>
  </w:style>
  <w:style w:type="paragraph" w:styleId="Porat">
    <w:name w:val="footer"/>
    <w:basedOn w:val="prastasis"/>
    <w:link w:val="PoratDiagrama"/>
    <w:uiPriority w:val="99"/>
    <w:unhideWhenUsed/>
    <w:rsid w:val="00696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6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57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6A2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D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96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623D"/>
  </w:style>
  <w:style w:type="paragraph" w:styleId="Porat">
    <w:name w:val="footer"/>
    <w:basedOn w:val="prastasis"/>
    <w:link w:val="PoratDiagrama"/>
    <w:uiPriority w:val="99"/>
    <w:unhideWhenUsed/>
    <w:rsid w:val="00696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F919-B84B-482E-A533-610B27F2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6679</Words>
  <Characters>3808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sekretorė</cp:lastModifiedBy>
  <cp:revision>2</cp:revision>
  <dcterms:created xsi:type="dcterms:W3CDTF">2017-04-27T09:23:00Z</dcterms:created>
  <dcterms:modified xsi:type="dcterms:W3CDTF">2017-04-27T09:23:00Z</dcterms:modified>
</cp:coreProperties>
</file>